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bookmarkStart w:id="1" w:name="block_c8ba4f9b74baab94c9d5"/>
      <w:r>
        <w:t>腾讯2026年8月经营观察月报</w:t>
      </w:r>
      <w:bookmarkEnd w:id="1"/>
    </w:p>
    <w:p>
      <w:pPr>
        <w:pStyle w:val="Heading2"/>
      </w:pPr>
      <w:bookmarkStart w:id="2" w:name="management_view"/>
      <w:r>
        <w:t>管理判断</w:t>
      </w:r>
      <w:bookmarkEnd w:id="2"/>
    </w:p>
    <w:p>
      <w:pPr>
        <w:pStyle w:val="ListNumber"/>
      </w:pPr>
      <w:r>
        <w:t>AI投入已进入规模化阶段，现金流纪律成为首要约束。2Q2026资本开支528亿元、同比增加176%，同期资本开支付款593亿元，使自由现金流转负为138亿元；若剔除算力采购预付款项，自由现金流为376亿元。投入与当期回款之间的时间差正在放大，月度资源安排应同时盯住付款节奏与预付款规模。</w:t>
      </w:r>
      <w:r>
        <w:t>[1]</w:t>
      </w:r>
      <w:r>
        <w:t xml:space="preserve"> </w:t>
      </w:r>
      <w:r>
        <w:t>[2]</w:t>
      </w:r>
    </w:p>
    <w:p>
      <w:pPr>
        <w:pStyle w:val="ListNumber"/>
      </w:pPr>
      <w:r>
        <w:t>模型与应用层出现公司口径的早期转化信号，但新AI产品仍处投入期。公司称按OpenRouter词元消耗量计Hy3自推出以来持续位列全球前三；8月5日又称其发布后一周内位列该榜首位。营销服务收入同比+22%，企业服务增长主要来自云服务。与此同时，非IFRS经营利润率由38%降至37%，剔除新AI产品后非IFRS经营盈利861亿元、同比+19%，说明新AI产品正在摊薄当期利润率。</w:t>
      </w:r>
      <w:r>
        <w:t>[2]</w:t>
      </w:r>
      <w:r>
        <w:t xml:space="preserve"> </w:t>
      </w:r>
      <w:r>
        <w:t>[3]</w:t>
      </w:r>
      <w:r>
        <w:t xml:space="preserve"> </w:t>
      </w:r>
      <w:r>
        <w:t>[1]</w:t>
      </w:r>
    </w:p>
    <w:p>
      <w:pPr>
        <w:pStyle w:val="ListNumber"/>
      </w:pPr>
      <w:r>
        <w:t>截至2026年8月31日，就本报告所选公开材料而言，尚未见2026年8月单月的完整收入、利润等经营数据披露；8月12日公司披露的是2Q2026及中期业绩（属季度与半年度数据）。公开可确认的8月进展以产品发布与专题报告为主，经营基线仍是2Q2026与1H2026。本月跟踪重点应放在把8月事件转成可核验的运营指标，而不是把季度数据当作8月表现。</w:t>
      </w:r>
      <w:r>
        <w:t>[1]</w:t>
      </w:r>
      <w:r>
        <w:t xml:space="preserve"> </w:t>
      </w:r>
      <w:r>
        <w:t>[4]</w:t>
      </w:r>
    </w:p>
    <w:p>
      <w:pPr>
        <w:pStyle w:val="Heading2"/>
      </w:pPr>
      <w:bookmarkStart w:id="3" w:name="august_events"/>
      <w:r>
        <w:t>本月关键事项</w:t>
      </w:r>
      <w:bookmarkEnd w:id="3"/>
    </w:p>
    <w:p>
      <w:pPr>
        <w:pStyle w:val="ListBullet"/>
      </w:pPr>
      <w:r>
        <w:t>8月5日，公司宣布Hy3进一步向国际市场开放，面向全球开发者、用户与企业，可通过WorkBuddy、Miora及腾讯云TokenHub体验并支持API接入；公司称发布后一周内API调用量达到上一代模型68倍以上。这为公司口径，指向模型调用与云服务付费入口的扩大。</w:t>
      </w:r>
      <w:r>
        <w:t>[3]</w:t>
      </w:r>
    </w:p>
    <w:p>
      <w:pPr>
        <w:pStyle w:val="ListBullet"/>
      </w:pPr>
      <w:r>
        <w:t>8月12日，公司公布2Q2026及中期业绩，披露收入2,048亿元（同比+11%）、资本开支528亿元（同比+176%）等；本报告将其作为最近已披露基线，而非8月单月数据。</w:t>
      </w:r>
      <w:r>
        <w:t>[1]</w:t>
      </w:r>
    </w:p>
    <w:p>
      <w:pPr>
        <w:pStyle w:val="ListBullet"/>
      </w:pPr>
      <w:r>
        <w:t>8月17日，公司发布《碳中和中期报告》，称单机柜功率需求已从传统6–8千瓦提升至30–100千瓦甚至更高，并推出腾讯智算中心T-AIDC，供电效率最高可达98%。若这类高密度部署落地，算力的选址与用电成本将随之上升。</w:t>
      </w:r>
      <w:r>
        <w:t>[5]</w:t>
      </w:r>
    </w:p>
    <w:p>
      <w:pPr>
        <w:pStyle w:val="ListBullet"/>
      </w:pPr>
      <w:r>
        <w:t>8月28日，公司发布并开源Hy4 preview（总参数770B、激活参数49B、上下文突破1M），在WorkBuddy/CodeBuddy、元宝、ima等产品首发，并称Hy3免费期延长至9月30日。模型迭代与产品线同月双线推进，意味着算力与推理开支的压力延续。</w:t>
      </w:r>
      <w:r>
        <w:t>[4]</w:t>
      </w:r>
    </w:p>
    <w:p>
      <w:pPr>
        <w:pStyle w:val="Heading2"/>
      </w:pPr>
      <w:bookmarkStart w:id="4" w:name="operating_baseline"/>
      <w:r>
        <w:t>最近披露的经营基线</w:t>
      </w:r>
      <w:bookmarkEnd w:id="4"/>
    </w:p>
    <w:p>
      <w:r>
        <w:t>下表为最近已披露基线：2Q2026（截至2026-06-30止三个月）与1H2026（止六个月），均未经审核；IFRS与非IFRS分列，金额为人民币亿元（百万元÷100）。这是季度与半年度数据，不代表2026年8月单月表现。</w:t>
      </w:r>
      <w:r>
        <w:t>[2]</w:t>
      </w:r>
      <w:r>
        <w:t xml:space="preserve"> </w:t>
      </w:r>
      <w:r>
        <w:t>[1]</w:t>
      </w:r>
    </w:p>
    <w:tbl>
      <w:tblPr>
        <w:tblStyle w:val="TableGrid"/>
        <w:tblW w:type="auto" w:w="0"/>
        <w:tblLook w:firstColumn="1" w:firstRow="1" w:lastColumn="0" w:lastRow="0" w:noHBand="0" w:noVBand="1" w:val="04A0"/>
      </w:tblPr>
      <w:tblGrid>
        <w:gridCol w:w="5184"/>
        <w:gridCol w:w="1728"/>
        <w:gridCol w:w="1728"/>
      </w:tblGrid>
      <w:tr>
        <w:trPr>
          <w:tblHeader/>
          <w:cantSplit/>
        </w:trPr>
        <w:tc>
          <w:tcPr>
            <w:tcW w:type="dxa" w:w="5184"/>
          </w:tcPr>
          <w:p>
            <w:pPr>
              <w:keepNext/>
            </w:pPr>
            <w:r>
              <w:rPr>
                <w:b/>
              </w:rPr>
            </w:r>
            <w:r>
              <w:rPr>
                <w:b/>
              </w:rPr>
              <w:t>指标（未经审核）</w:t>
            </w:r>
          </w:p>
        </w:tc>
        <w:tc>
          <w:tcPr>
            <w:tcW w:type="dxa" w:w="1728"/>
          </w:tcPr>
          <w:p>
            <w:pPr>
              <w:keepNext/>
            </w:pPr>
            <w:r>
              <w:rPr>
                <w:b/>
              </w:rPr>
            </w:r>
            <w:r>
              <w:rPr>
                <w:b/>
              </w:rPr>
              <w:t>2Q2026</w:t>
            </w:r>
          </w:p>
        </w:tc>
        <w:tc>
          <w:tcPr>
            <w:tcW w:type="dxa" w:w="1728"/>
          </w:tcPr>
          <w:p>
            <w:pPr>
              <w:keepNext/>
            </w:pPr>
            <w:r>
              <w:rPr>
                <w:b/>
              </w:rPr>
            </w:r>
            <w:r>
              <w:rPr>
                <w:b/>
              </w:rPr>
              <w:t>1H2026</w:t>
            </w:r>
          </w:p>
        </w:tc>
      </w:tr>
      <w:tr>
        <w:trPr>
          <w:cantSplit/>
        </w:trPr>
        <w:tc>
          <w:tcPr>
            <w:tcW w:type="dxa" w:w="5184"/>
          </w:tcPr>
          <w:p>
            <w:pPr/>
            <w:r>
              <w:rPr/>
            </w:r>
            <w:r>
              <w:rPr/>
              <w:t>收入</w:t>
            </w:r>
          </w:p>
        </w:tc>
        <w:tc>
          <w:tcPr>
            <w:tcW w:type="dxa" w:w="1728"/>
          </w:tcPr>
          <w:p>
            <w:pPr/>
            <w:r>
              <w:rPr/>
            </w:r>
            <w:r>
              <w:rPr/>
              <w:t>2,048</w:t>
            </w:r>
          </w:p>
        </w:tc>
        <w:tc>
          <w:tcPr>
            <w:tcW w:type="dxa" w:w="1728"/>
          </w:tcPr>
          <w:p>
            <w:pPr/>
            <w:r>
              <w:rPr/>
            </w:r>
            <w:r>
              <w:rPr/>
              <w:t>4,012</w:t>
            </w:r>
          </w:p>
        </w:tc>
      </w:tr>
      <w:tr>
        <w:trPr>
          <w:cantSplit/>
        </w:trPr>
        <w:tc>
          <w:tcPr>
            <w:tcW w:type="dxa" w:w="5184"/>
          </w:tcPr>
          <w:p>
            <w:pPr/>
            <w:r>
              <w:rPr/>
            </w:r>
            <w:r>
              <w:rPr/>
              <w:t>毛利</w:t>
            </w:r>
          </w:p>
        </w:tc>
        <w:tc>
          <w:tcPr>
            <w:tcW w:type="dxa" w:w="1728"/>
          </w:tcPr>
          <w:p>
            <w:pPr/>
            <w:r>
              <w:rPr/>
            </w:r>
            <w:r>
              <w:rPr/>
              <w:t>1,184</w:t>
            </w:r>
          </w:p>
        </w:tc>
        <w:tc>
          <w:tcPr>
            <w:tcW w:type="dxa" w:w="1728"/>
          </w:tcPr>
          <w:p>
            <w:pPr/>
            <w:r>
              <w:rPr/>
            </w:r>
            <w:r>
              <w:rPr/>
              <w:t>2,297</w:t>
            </w:r>
          </w:p>
        </w:tc>
      </w:tr>
      <w:tr>
        <w:trPr>
          <w:cantSplit/>
        </w:trPr>
        <w:tc>
          <w:tcPr>
            <w:tcW w:type="dxa" w:w="5184"/>
          </w:tcPr>
          <w:p>
            <w:pPr/>
            <w:r>
              <w:rPr/>
            </w:r>
            <w:r>
              <w:rPr/>
              <w:t>经营盈利（IFRS）</w:t>
            </w:r>
          </w:p>
        </w:tc>
        <w:tc>
          <w:tcPr>
            <w:tcW w:type="dxa" w:w="1728"/>
          </w:tcPr>
          <w:p>
            <w:pPr/>
            <w:r>
              <w:rPr/>
            </w:r>
            <w:r>
              <w:rPr/>
              <w:t>673</w:t>
            </w:r>
          </w:p>
        </w:tc>
        <w:tc>
          <w:tcPr>
            <w:tcW w:type="dxa" w:w="1728"/>
          </w:tcPr>
          <w:p>
            <w:pPr/>
            <w:r>
              <w:rPr/>
            </w:r>
            <w:r>
              <w:rPr/>
              <w:t>1,347</w:t>
            </w:r>
          </w:p>
        </w:tc>
      </w:tr>
      <w:tr>
        <w:trPr>
          <w:cantSplit/>
        </w:trPr>
        <w:tc>
          <w:tcPr>
            <w:tcW w:type="dxa" w:w="5184"/>
          </w:tcPr>
          <w:p>
            <w:pPr/>
            <w:r>
              <w:rPr/>
            </w:r>
            <w:r>
              <w:rPr/>
              <w:t>期内盈利（IFRS）</w:t>
            </w:r>
          </w:p>
        </w:tc>
        <w:tc>
          <w:tcPr>
            <w:tcW w:type="dxa" w:w="1728"/>
          </w:tcPr>
          <w:p>
            <w:pPr/>
            <w:r>
              <w:rPr/>
            </w:r>
            <w:r>
              <w:rPr/>
              <w:t>580</w:t>
            </w:r>
          </w:p>
        </w:tc>
        <w:tc>
          <w:tcPr>
            <w:tcW w:type="dxa" w:w="1728"/>
          </w:tcPr>
          <w:p>
            <w:pPr/>
            <w:r>
              <w:rPr/>
            </w:r>
            <w:r>
              <w:rPr/>
              <w:t>1,174</w:t>
            </w:r>
          </w:p>
        </w:tc>
      </w:tr>
      <w:tr>
        <w:trPr>
          <w:cantSplit/>
        </w:trPr>
        <w:tc>
          <w:tcPr>
            <w:tcW w:type="dxa" w:w="5184"/>
          </w:tcPr>
          <w:p>
            <w:pPr/>
            <w:r>
              <w:rPr/>
            </w:r>
            <w:r>
              <w:rPr/>
              <w:t>本公司权益持有人应占盈利（IFRS）</w:t>
            </w:r>
          </w:p>
        </w:tc>
        <w:tc>
          <w:tcPr>
            <w:tcW w:type="dxa" w:w="1728"/>
          </w:tcPr>
          <w:p>
            <w:pPr/>
            <w:r>
              <w:rPr/>
            </w:r>
            <w:r>
              <w:rPr/>
              <w:t>560</w:t>
            </w:r>
          </w:p>
        </w:tc>
        <w:tc>
          <w:tcPr>
            <w:tcW w:type="dxa" w:w="1728"/>
          </w:tcPr>
          <w:p>
            <w:pPr/>
            <w:r>
              <w:rPr/>
            </w:r>
            <w:r>
              <w:rPr/>
              <w:t>1,141</w:t>
            </w:r>
          </w:p>
        </w:tc>
      </w:tr>
      <w:tr>
        <w:trPr>
          <w:cantSplit/>
        </w:trPr>
        <w:tc>
          <w:tcPr>
            <w:tcW w:type="dxa" w:w="5184"/>
          </w:tcPr>
          <w:p>
            <w:pPr/>
            <w:r>
              <w:rPr/>
            </w:r>
            <w:r>
              <w:rPr/>
              <w:t>非IFRS经营盈利</w:t>
            </w:r>
          </w:p>
        </w:tc>
        <w:tc>
          <w:tcPr>
            <w:tcW w:type="dxa" w:w="1728"/>
          </w:tcPr>
          <w:p>
            <w:pPr/>
            <w:r>
              <w:rPr/>
            </w:r>
            <w:r>
              <w:rPr/>
              <w:t>756</w:t>
            </w:r>
          </w:p>
        </w:tc>
        <w:tc>
          <w:tcPr>
            <w:tcW w:type="dxa" w:w="1728"/>
          </w:tcPr>
          <w:p>
            <w:pPr/>
            <w:r>
              <w:rPr/>
            </w:r>
            <w:r>
              <w:rPr/>
              <w:t>1,513</w:t>
            </w:r>
          </w:p>
        </w:tc>
      </w:tr>
      <w:tr>
        <w:trPr>
          <w:cantSplit/>
        </w:trPr>
        <w:tc>
          <w:tcPr>
            <w:tcW w:type="dxa" w:w="5184"/>
          </w:tcPr>
          <w:p>
            <w:pPr/>
            <w:r>
              <w:rPr/>
            </w:r>
            <w:r>
              <w:rPr/>
              <w:t>非IFRS应占盈利</w:t>
            </w:r>
          </w:p>
        </w:tc>
        <w:tc>
          <w:tcPr>
            <w:tcW w:type="dxa" w:w="1728"/>
          </w:tcPr>
          <w:p>
            <w:pPr/>
            <w:r>
              <w:rPr/>
            </w:r>
            <w:r>
              <w:rPr/>
              <w:t>684</w:t>
            </w:r>
          </w:p>
        </w:tc>
        <w:tc>
          <w:tcPr>
            <w:tcW w:type="dxa" w:w="1728"/>
          </w:tcPr>
          <w:p>
            <w:pPr/>
            <w:r>
              <w:rPr/>
            </w:r>
            <w:r>
              <w:rPr/>
              <w:t>1,363</w:t>
            </w:r>
          </w:p>
        </w:tc>
      </w:tr>
      <w:tr>
        <w:trPr>
          <w:cantSplit/>
        </w:trPr>
        <w:tc>
          <w:tcPr>
            <w:tcW w:type="dxa" w:w="5184"/>
          </w:tcPr>
          <w:p>
            <w:pPr/>
            <w:r>
              <w:rPr/>
            </w:r>
            <w:r>
              <w:rPr/>
              <w:t>资本开支</w:t>
            </w:r>
          </w:p>
        </w:tc>
        <w:tc>
          <w:tcPr>
            <w:tcW w:type="dxa" w:w="1728"/>
          </w:tcPr>
          <w:p>
            <w:pPr/>
            <w:r>
              <w:rPr/>
            </w:r>
            <w:r>
              <w:rPr/>
              <w:t>528</w:t>
            </w:r>
          </w:p>
        </w:tc>
        <w:tc>
          <w:tcPr>
            <w:tcW w:type="dxa" w:w="1728"/>
          </w:tcPr>
          <w:p>
            <w:pPr/>
            <w:r>
              <w:rPr/>
            </w:r>
            <w:r>
              <w:rPr/>
              <w:t>847</w:t>
            </w:r>
          </w:p>
        </w:tc>
      </w:tr>
      <w:tr>
        <w:trPr>
          <w:cantSplit/>
        </w:trPr>
        <w:tc>
          <w:tcPr>
            <w:tcW w:type="dxa" w:w="5184"/>
          </w:tcPr>
          <w:p>
            <w:pPr/>
            <w:r>
              <w:rPr/>
            </w:r>
            <w:r>
              <w:rPr/>
              <w:t>经营活动现金净额</w:t>
            </w:r>
          </w:p>
        </w:tc>
        <w:tc>
          <w:tcPr>
            <w:tcW w:type="dxa" w:w="1728"/>
          </w:tcPr>
          <w:p>
            <w:pPr/>
            <w:r>
              <w:rPr/>
            </w:r>
            <w:r>
              <w:rPr/>
              <w:t>527</w:t>
            </w:r>
          </w:p>
        </w:tc>
        <w:tc>
          <w:tcPr>
            <w:tcW w:type="dxa" w:w="1728"/>
          </w:tcPr>
          <w:p>
            <w:pPr/>
            <w:r>
              <w:rPr/>
            </w:r>
            <w:r>
              <w:rPr/>
              <w:t>1,541</w:t>
            </w:r>
          </w:p>
        </w:tc>
      </w:tr>
      <w:tr>
        <w:trPr>
          <w:cantSplit/>
        </w:trPr>
        <w:tc>
          <w:tcPr>
            <w:tcW w:type="dxa" w:w="5184"/>
          </w:tcPr>
          <w:p>
            <w:pPr/>
            <w:r>
              <w:rPr/>
            </w:r>
            <w:r>
              <w:rPr/>
              <w:t>自由现金流（含预付款口径）</w:t>
            </w:r>
          </w:p>
        </w:tc>
        <w:tc>
          <w:tcPr>
            <w:tcW w:type="dxa" w:w="1728"/>
          </w:tcPr>
          <w:p>
            <w:pPr/>
            <w:r>
              <w:rPr/>
            </w:r>
            <w:r>
              <w:rPr/>
              <w:t>−138</w:t>
            </w:r>
          </w:p>
        </w:tc>
        <w:tc>
          <w:tcPr>
            <w:tcW w:type="dxa" w:w="1728"/>
          </w:tcPr>
          <w:p>
            <w:pPr/>
            <w:r>
              <w:rPr/>
            </w:r>
            <w:r>
              <w:rPr/>
              <w:t>—</w:t>
            </w:r>
          </w:p>
        </w:tc>
      </w:tr>
      <w:tr>
        <w:trPr>
          <w:cantSplit/>
        </w:trPr>
        <w:tc>
          <w:tcPr>
            <w:tcW w:type="dxa" w:w="5184"/>
          </w:tcPr>
          <w:p>
            <w:pPr/>
            <w:r>
              <w:rPr/>
            </w:r>
            <w:r>
              <w:rPr/>
              <w:t>自由现金流（剔除算力采购预付款）</w:t>
            </w:r>
          </w:p>
        </w:tc>
        <w:tc>
          <w:tcPr>
            <w:tcW w:type="dxa" w:w="1728"/>
          </w:tcPr>
          <w:p>
            <w:pPr/>
            <w:r>
              <w:rPr/>
            </w:r>
            <w:r>
              <w:rPr/>
              <w:t>376</w:t>
            </w:r>
          </w:p>
        </w:tc>
        <w:tc>
          <w:tcPr>
            <w:tcW w:type="dxa" w:w="1728"/>
          </w:tcPr>
          <w:p>
            <w:pPr/>
            <w:r>
              <w:rPr/>
            </w:r>
            <w:r>
              <w:rPr/>
              <w:t>—</w:t>
            </w:r>
          </w:p>
        </w:tc>
      </w:tr>
    </w:tbl>
    <w:p>
      <w:pPr>
        <w:pStyle w:val="Heading2"/>
      </w:pPr>
      <w:bookmarkStart w:id="5" w:name="ai_investment"/>
      <w:r>
        <w:t>AI投入、现金流与商业转化</w:t>
      </w:r>
      <w:bookmarkEnd w:id="5"/>
    </w:p>
    <w:p>
      <w:r>
        <w:t>本节区分资本开支（投入口径）与资本开支付款（现金付款口径）：2Q2026资本开支528亿元、同比+176%，同期资本开支付款593亿元，两者不可相互替代。</w:t>
      </w:r>
      <w:r>
        <w:t>[2]</w:t>
      </w:r>
      <w:r>
        <w:t xml:space="preserve"> </w:t>
      </w:r>
      <w:r>
        <w:t>[1]</w:t>
      </w:r>
    </w:p>
    <w:p>
      <w:r>
        <w:t>自由现金流方面，经营现金净额527亿元，扣除资本开支付款593亿元、媒体内容付款50亿元及租赁负债付款22亿元后为138亿元负值；公司称经营现金流含大额AI相关预付款项，用于Hy模型升级、WorkBuddy及CodeBuddy推理、微信AI举措等，若剔除算力采购预付款项则为376亿元。</w:t>
      </w:r>
      <w:r>
        <w:t>[2]</w:t>
      </w:r>
    </w:p>
    <w:p>
      <w:r>
        <w:t>投入结构上，2Q2026研发开支约272.78亿元，上年同期为202.51亿元；一般及行政开支同比+22%，公司称主因研发开支增加，以支持Hy模型升级与各产品AI能力建设。该项金额在原始公告中表格值为38,808百万元、文字表述为387亿元，两者存在差异，本报告不采用未经解决的单一数字，详见待补事项与核查记录。</w:t>
      </w:r>
      <w:r>
        <w:t>[2]</w:t>
      </w:r>
    </w:p>
    <w:p>
      <w:r>
        <w:t>商业转化证据均属公司口径：公司称Hy3发布后一周内API调用量达上一代模型68倍以上、同期位列OpenRouter全球大语言模型使用排行榜首位，并称在腾讯内部办公场景的实测中，WorkBuddy接入Hy3后任务成功率超90%、平均任务完成时间较上一代Hy模型缩短34%。定价上，Hy3在OpenRouter为每百万tokens输入US$0.1288起、输出US$0.5336起；Hy4 preview为输入6元、输出18元（人民币），两者代际、平台与币种不同，不可直接比较。</w:t>
      </w:r>
      <w:r>
        <w:t>[3]</w:t>
      </w:r>
      <w:r>
        <w:t xml:space="preserve"> </w:t>
      </w:r>
      <w:r>
        <w:t>[4]</w:t>
      </w:r>
    </w:p>
    <w:p>
      <w:r>
        <w:t>分部与经营数据方面，2Q2026非IFRS经营盈利756亿元、同比+9%；增值服务收入984亿元，其中本土市场游戏收入473亿元、同比+17%，国际市场游戏收入186亿元，报表同比−0.8%、按固定汇率同比+4%；营销服务收入436亿元、同比+22%，金融科技及企业服务收入603亿元、同比+9%，企业服务增长主要来自云服务。汇率口径需分开引用。</w:t>
      </w:r>
      <w:r>
        <w:t>[1]</w:t>
      </w:r>
    </w:p>
    <w:p>
      <w:r>
        <w:t>就AI投入节奏，可比较三条路径：维持当前强度，以2Q2026资本开支528亿元、资本开支付款593亿元为参照，前提是非IFRS经营利润率不再下滑且能取得逐月付款明细；加速，需要Hy3/Hy4调用量先转为可计费云收入、资本开支付款增速回落到资本开支之内；放缓，适用于后续季度自由现金流持续为负且算力预付款余额继续上升的情形。三条路径共同取决于月度资本开支付款与算力预付款数据，公开来源尚无法验证任一选项的净收益。</w:t>
      </w:r>
      <w:r>
        <w:t>[1]</w:t>
      </w:r>
    </w:p>
    <w:p>
      <w:pPr>
        <w:pStyle w:val="Heading2"/>
      </w:pPr>
      <w:bookmarkStart w:id="6" w:name="next_actions"/>
      <w:r>
        <w:t>下月建议动作</w:t>
      </w:r>
      <w:bookmarkEnd w:id="6"/>
    </w:p>
    <w:p>
      <w:r>
        <w:t>以下为分析建议，非公司已批准计划；"建议牵头职能"为职能方向，不指任何具体负责人。</w:t>
      </w:r>
    </w:p>
    <w:tbl>
      <w:tblPr>
        <w:tblStyle w:val="TableGrid"/>
        <w:tblW w:type="auto" w:w="0"/>
        <w:tblLook w:firstColumn="1" w:firstRow="1" w:lastColumn="0" w:lastRow="0" w:noHBand="0" w:noVBand="1" w:val="04A0"/>
      </w:tblPr>
      <w:tblGrid>
        <w:gridCol w:w="2160"/>
        <w:gridCol w:w="1543"/>
        <w:gridCol w:w="4011"/>
        <w:gridCol w:w="926"/>
      </w:tblGrid>
      <w:tr>
        <w:trPr>
          <w:tblHeader/>
          <w:cantSplit/>
        </w:trPr>
        <w:tc>
          <w:tcPr>
            <w:tcW w:type="dxa" w:w="2160"/>
          </w:tcPr>
          <w:p>
            <w:pPr>
              <w:keepNext/>
            </w:pPr>
            <w:r>
              <w:rPr>
                <w:b/>
              </w:rPr>
            </w:r>
            <w:r>
              <w:rPr>
                <w:b/>
              </w:rPr>
              <w:t>建议事项</w:t>
            </w:r>
          </w:p>
        </w:tc>
        <w:tc>
          <w:tcPr>
            <w:tcW w:type="dxa" w:w="1543"/>
          </w:tcPr>
          <w:p>
            <w:pPr>
              <w:keepNext/>
            </w:pPr>
            <w:r>
              <w:rPr>
                <w:b/>
              </w:rPr>
            </w:r>
            <w:r>
              <w:rPr>
                <w:b/>
              </w:rPr>
              <w:t>建议牵头职能</w:t>
            </w:r>
          </w:p>
        </w:tc>
        <w:tc>
          <w:tcPr>
            <w:tcW w:type="dxa" w:w="4011"/>
          </w:tcPr>
          <w:p>
            <w:pPr>
              <w:keepNext/>
            </w:pPr>
            <w:r>
              <w:rPr>
                <w:b/>
              </w:rPr>
            </w:r>
            <w:r>
              <w:rPr>
                <w:b/>
              </w:rPr>
              <w:t>需要拿到的指标</w:t>
            </w:r>
          </w:p>
        </w:tc>
        <w:tc>
          <w:tcPr>
            <w:tcW w:type="dxa" w:w="926"/>
          </w:tcPr>
          <w:p>
            <w:pPr>
              <w:keepNext/>
            </w:pPr>
            <w:r>
              <w:rPr>
                <w:b/>
              </w:rPr>
            </w:r>
            <w:r>
              <w:rPr>
                <w:b/>
              </w:rPr>
              <w:t>建议检查时点</w:t>
            </w:r>
          </w:p>
        </w:tc>
      </w:tr>
      <w:tr>
        <w:trPr>
          <w:cantSplit/>
        </w:trPr>
        <w:tc>
          <w:tcPr>
            <w:tcW w:type="dxa" w:w="2160"/>
          </w:tcPr>
          <w:p>
            <w:pPr/>
            <w:r>
              <w:rPr/>
            </w:r>
            <w:r>
              <w:rPr/>
              <w:t>核对AI投入与回款节奏</w:t>
            </w:r>
          </w:p>
        </w:tc>
        <w:tc>
          <w:tcPr>
            <w:tcW w:type="dxa" w:w="1543"/>
          </w:tcPr>
          <w:p>
            <w:pPr/>
            <w:r>
              <w:rPr/>
            </w:r>
            <w:r>
              <w:rPr/>
              <w:t>财务与投资者关系</w:t>
            </w:r>
          </w:p>
        </w:tc>
        <w:tc>
          <w:tcPr>
            <w:tcW w:type="dxa" w:w="4011"/>
          </w:tcPr>
          <w:p>
            <w:pPr/>
            <w:r>
              <w:rPr/>
            </w:r>
            <w:r>
              <w:rPr/>
              <w:t>8月资本开支、资本开支付款、算力预付款余额</w:t>
            </w:r>
          </w:p>
        </w:tc>
        <w:tc>
          <w:tcPr>
            <w:tcW w:type="dxa" w:w="926"/>
          </w:tcPr>
          <w:p>
            <w:pPr/>
            <w:r>
              <w:rPr/>
            </w:r>
            <w:r>
              <w:rPr/>
              <w:t>9月上旬</w:t>
            </w:r>
          </w:p>
        </w:tc>
      </w:tr>
      <w:tr>
        <w:trPr>
          <w:cantSplit/>
        </w:trPr>
        <w:tc>
          <w:tcPr>
            <w:tcW w:type="dxa" w:w="2160"/>
          </w:tcPr>
          <w:p>
            <w:pPr/>
            <w:r>
              <w:rPr/>
            </w:r>
            <w:r>
              <w:rPr/>
              <w:t>跟踪模型调用到付费的转化</w:t>
            </w:r>
          </w:p>
        </w:tc>
        <w:tc>
          <w:tcPr>
            <w:tcW w:type="dxa" w:w="1543"/>
          </w:tcPr>
          <w:p>
            <w:pPr/>
            <w:r>
              <w:rPr/>
            </w:r>
            <w:r>
              <w:rPr/>
              <w:t>云与产业事业群、产品</w:t>
            </w:r>
          </w:p>
        </w:tc>
        <w:tc>
          <w:tcPr>
            <w:tcW w:type="dxa" w:w="4011"/>
          </w:tcPr>
          <w:p>
            <w:pPr/>
            <w:r>
              <w:rPr/>
            </w:r>
            <w:r>
              <w:rPr/>
              <w:t>Hy3/Hy4 API调用量、token消耗与付费率</w:t>
            </w:r>
          </w:p>
        </w:tc>
        <w:tc>
          <w:tcPr>
            <w:tcW w:type="dxa" w:w="926"/>
          </w:tcPr>
          <w:p>
            <w:pPr/>
            <w:r>
              <w:rPr/>
            </w:r>
            <w:r>
              <w:rPr/>
              <w:t>9月中旬</w:t>
            </w:r>
          </w:p>
        </w:tc>
      </w:tr>
      <w:tr>
        <w:trPr>
          <w:cantSplit/>
        </w:trPr>
        <w:tc>
          <w:tcPr>
            <w:tcW w:type="dxa" w:w="2160"/>
          </w:tcPr>
          <w:p>
            <w:pPr/>
            <w:r>
              <w:rPr/>
            </w:r>
            <w:r>
              <w:rPr/>
              <w:t>复核新AI产品对利润率的影响</w:t>
            </w:r>
          </w:p>
        </w:tc>
        <w:tc>
          <w:tcPr>
            <w:tcW w:type="dxa" w:w="1543"/>
          </w:tcPr>
          <w:p>
            <w:pPr/>
            <w:r>
              <w:rPr/>
            </w:r>
            <w:r>
              <w:rPr/>
              <w:t>财务规划</w:t>
            </w:r>
          </w:p>
        </w:tc>
        <w:tc>
          <w:tcPr>
            <w:tcW w:type="dxa" w:w="4011"/>
          </w:tcPr>
          <w:p>
            <w:pPr/>
            <w:r>
              <w:rPr/>
            </w:r>
            <w:r>
              <w:rPr/>
              <w:t>剔除新AI产品前后非IFRS经营盈利</w:t>
            </w:r>
          </w:p>
        </w:tc>
        <w:tc>
          <w:tcPr>
            <w:tcW w:type="dxa" w:w="926"/>
          </w:tcPr>
          <w:p>
            <w:pPr/>
            <w:r>
              <w:rPr/>
            </w:r>
            <w:r>
              <w:rPr/>
              <w:t>随季度更新</w:t>
            </w:r>
          </w:p>
        </w:tc>
      </w:tr>
      <w:tr>
        <w:trPr>
          <w:cantSplit/>
        </w:trPr>
        <w:tc>
          <w:tcPr>
            <w:tcW w:type="dxa" w:w="2160"/>
          </w:tcPr>
          <w:p>
            <w:pPr/>
            <w:r>
              <w:rPr/>
            </w:r>
            <w:r>
              <w:rPr/>
              <w:t>评估算力部署的能源约束</w:t>
            </w:r>
          </w:p>
        </w:tc>
        <w:tc>
          <w:tcPr>
            <w:tcW w:type="dxa" w:w="1543"/>
          </w:tcPr>
          <w:p>
            <w:pPr/>
            <w:r>
              <w:rPr/>
            </w:r>
            <w:r>
              <w:rPr/>
              <w:t>数据中心与可持续团队</w:t>
            </w:r>
          </w:p>
        </w:tc>
        <w:tc>
          <w:tcPr>
            <w:tcW w:type="dxa" w:w="4011"/>
          </w:tcPr>
          <w:p>
            <w:pPr/>
            <w:r>
              <w:rPr/>
            </w:r>
            <w:r>
              <w:rPr/>
              <w:t>T-AIDC上线进度、绿电使用比例</w:t>
            </w:r>
          </w:p>
        </w:tc>
        <w:tc>
          <w:tcPr>
            <w:tcW w:type="dxa" w:w="926"/>
          </w:tcPr>
          <w:p>
            <w:pPr/>
            <w:r>
              <w:rPr/>
            </w:r>
            <w:r>
              <w:rPr/>
              <w:t>9月底前</w:t>
            </w:r>
          </w:p>
        </w:tc>
      </w:tr>
    </w:tbl>
    <w:p>
      <w:pPr>
        <w:pStyle w:val="Heading2"/>
      </w:pPr>
      <w:bookmarkStart w:id="7" w:name="internal_gaps"/>
      <w:r>
        <w:t>待补内部信息</w:t>
      </w:r>
      <w:bookmarkEnd w:id="7"/>
    </w:p>
    <w:p>
      <w:r>
        <w:t>公开来源无8月单月收入与利润，无法判断AI投入在8月的边际贡献；无AI预算与实际支出对比，无法评估投入是否偏离计划；无算力预付款项具体金额与期限，无法量化其对后续现金流的锁定程度；Hy4正式版仅有"近期陆续上线"表述，无法据此安排算力与推理容量。这些缺口的共同影响是，AI投入节奏判断只能依赖季度基线与公司定性表述，建议优先补足月度现金流与预付款口径。此外，2Q2026一般及行政开支在中期业绩公告内部存在数值差异：表格值为38,808百万元（388.08亿元），文字表述为387亿元；已保留两处原值与定位，未澄清前不用于测算。</w:t>
      </w:r>
      <w:r>
        <w:t>[4]</w:t>
      </w:r>
      <w:r>
        <w:t xml:space="preserve"> </w:t>
      </w:r>
      <w:r>
        <w:t>[2]</w:t>
      </w:r>
    </w:p>
    <w:p>
      <w:pPr>
        <w:pStyle w:val="Heading2"/>
      </w:pPr>
      <w:r>
        <w:t>来源</w:t>
      </w:r>
    </w:p>
    <w:p>
      <w:r>
        <w:t>1. 腾讯2026第二季业绩新闻（官方中文PDF）</w:t>
      </w:r>
      <w:hyperlink r:id="rId9">
        <w:r>
          <w:rPr>
            <w:u w:val="single"/>
          </w:rPr>
          <w:t xml:space="preserve"> 原文</w:t>
        </w:r>
      </w:hyperlink>
    </w:p>
    <w:p>
      <w:r>
        <w:t>2. 腾讯2026中期业绩公告（官方PDF文字提取）</w:t>
      </w:r>
      <w:hyperlink r:id="rId10">
        <w:r>
          <w:rPr>
            <w:u w:val="single"/>
          </w:rPr>
          <w:t xml:space="preserve"> 原文</w:t>
        </w:r>
      </w:hyperlink>
    </w:p>
    <w:p>
      <w:r>
        <w:t>3. 腾讯混元Hy3面向全球开放，让实用的AI能力贯通产品、工作流与云服务 - Tencent</w:t>
      </w:r>
      <w:hyperlink r:id="rId11">
        <w:r>
          <w:rPr>
            <w:u w:val="single"/>
          </w:rPr>
          <w:t xml:space="preserve"> 原文</w:t>
        </w:r>
      </w:hyperlink>
    </w:p>
    <w:p>
      <w:r>
        <w:t>4. 腾讯发布并开源Hy4 preview - Tencent</w:t>
      </w:r>
      <w:hyperlink r:id="rId12">
        <w:r>
          <w:rPr>
            <w:u w:val="single"/>
          </w:rPr>
          <w:t xml:space="preserve"> 原文</w:t>
        </w:r>
      </w:hyperlink>
    </w:p>
    <w:p>
      <w:r>
        <w:t>5. 腾讯公布碳中和进展，聚焦AI时代减碳策略 - Tencent</w:t>
      </w:r>
      <w:hyperlink r:id="rId13">
        <w:r>
          <w:rPr>
            <w:u w:val="single"/>
          </w:rPr>
          <w:t xml:space="preserve"> 原文</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hint="default" w:ascii="Arial" w:hAnsi="Arial" w:cs="Arial"/>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hint="default" w:ascii="Arial" w:hAnsi="Arial" w:cs="Arial"/>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hint="default" w:ascii="Arial" w:hAnsi="Arial" w:cs="Arial"/>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hint="default" w:ascii="Arial" w:hAnsi="Arial" w:cs="Arial"/>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hAnsi="Arial" w:cs="Arial"/>
        <w:sz w:val="22"/>
        <w:szCs w:val="22"/>
        <w:lang w:val="en-US" w:eastAsia="zh-CN"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Arial" w:hAnsi="Arial" w:cs="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Arial" w:hAnsi="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Arial" w:hAnsi="Arial" w:cs="Arial"/>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Arial" w:hAnsi="Arial" w:cs="Arial"/>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Arial" w:hAnsi="Arial" w:cs="Arial"/>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Arial" w:hAnsi="Arial" w:cs="Arial"/>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Arial" w:hAnsi="Arial" w:cs="Arial"/>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Arial" w:hAnsi="Arial" w:cs="Arial"/>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Arial" w:hAnsi="Arial" w:cs="Arial"/>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Arial" w:hAnsi="Arial" w:cs="Arial"/>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Arial" w:hAnsi="Arial" w:cs="Arial"/>
      <w:b/>
      <w:bCs/>
      <w:color w:val="4F81BD" w:themeColor="accent1"/>
      <w:sz w:val="26"/>
      <w:szCs w:val="26"/>
    </w:rPr>
  </w:style>
  <w:style w:type="character" w:customStyle="1" w:styleId="Heading3Char">
    <w:name w:val="Heading 3 Char"/>
    <w:basedOn w:val="DefaultParagraphFont"/>
    <w:link w:val="Heading3"/>
    <w:uiPriority w:val="9"/>
    <w:rsid w:val="00FC693F"/>
    <w:rPr>
      <w:rFonts w:ascii="Arial" w:hAnsi="Arial" w:cs="Arial"/>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Arial" w:hAnsi="Arial" w:cs="Arial"/>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Arial" w:hAnsi="Arial" w:cs="Arial"/>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Arial" w:hAnsi="Arial" w:cs="Arial"/>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Arial" w:hAnsi="Arial" w:cs="Arial"/>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Arial" w:hAnsi="Arial" w:cs="Arial"/>
      <w:sz w:val="20"/>
      <w:szCs w:val="20"/>
    </w:rPr>
  </w:style>
  <w:style w:type="character" w:customStyle="1" w:styleId="MacroTextChar">
    <w:name w:val="Macro Text Char"/>
    <w:basedOn w:val="DefaultParagraphFont"/>
    <w:link w:val="MacroText"/>
    <w:uiPriority w:val="99"/>
    <w:rsid w:val="0029639D"/>
    <w:rPr>
      <w:rFonts w:ascii="Arial" w:hAnsi="Arial" w:cs="Arial"/>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Arial" w:hAnsi="Arial" w:cs="Arial"/>
      <w:b/>
      <w:bCs/>
      <w:i/>
      <w:iCs/>
      <w:color w:val="4F81BD" w:themeColor="accent1"/>
    </w:rPr>
  </w:style>
  <w:style w:type="character" w:customStyle="1" w:styleId="Heading5Char">
    <w:name w:val="Heading 5 Char"/>
    <w:basedOn w:val="DefaultParagraphFont"/>
    <w:link w:val="Heading5"/>
    <w:uiPriority w:val="9"/>
    <w:semiHidden/>
    <w:rsid w:val="00FC693F"/>
    <w:rPr>
      <w:rFonts w:ascii="Arial" w:hAnsi="Arial" w:cs="Arial"/>
      <w:color w:val="243F60" w:themeColor="accent1" w:themeShade="7F"/>
    </w:rPr>
  </w:style>
  <w:style w:type="character" w:customStyle="1" w:styleId="Heading6Char">
    <w:name w:val="Heading 6 Char"/>
    <w:basedOn w:val="DefaultParagraphFont"/>
    <w:link w:val="Heading6"/>
    <w:uiPriority w:val="9"/>
    <w:semiHidden/>
    <w:rsid w:val="00FC693F"/>
    <w:rPr>
      <w:rFonts w:ascii="Arial" w:hAnsi="Arial" w:cs="Arial"/>
      <w:i/>
      <w:iCs/>
      <w:color w:val="243F60" w:themeColor="accent1" w:themeShade="7F"/>
    </w:rPr>
  </w:style>
  <w:style w:type="character" w:customStyle="1" w:styleId="Heading7Char">
    <w:name w:val="Heading 7 Char"/>
    <w:basedOn w:val="DefaultParagraphFont"/>
    <w:link w:val="Heading7"/>
    <w:uiPriority w:val="9"/>
    <w:semiHidden/>
    <w:rsid w:val="00FC693F"/>
    <w:rPr>
      <w:rFonts w:ascii="Arial" w:hAnsi="Arial" w:cs="Arial"/>
      <w:i/>
      <w:iCs/>
      <w:color w:val="404040" w:themeColor="text1" w:themeTint="BF"/>
    </w:rPr>
  </w:style>
  <w:style w:type="character" w:customStyle="1" w:styleId="Heading8Char">
    <w:name w:val="Heading 8 Char"/>
    <w:basedOn w:val="DefaultParagraphFont"/>
    <w:link w:val="Heading8"/>
    <w:uiPriority w:val="9"/>
    <w:semiHidden/>
    <w:rsid w:val="00FC693F"/>
    <w:rPr>
      <w:rFonts w:ascii="Arial" w:hAnsi="Arial" w:cs="Arial"/>
      <w:color w:val="4F81BD" w:themeColor="accent1"/>
      <w:sz w:val="20"/>
      <w:szCs w:val="20"/>
    </w:rPr>
  </w:style>
  <w:style w:type="character" w:customStyle="1" w:styleId="Heading9Char">
    <w:name w:val="Heading 9 Char"/>
    <w:basedOn w:val="DefaultParagraphFont"/>
    <w:link w:val="Heading9"/>
    <w:uiPriority w:val="9"/>
    <w:semiHidden/>
    <w:rsid w:val="00FC693F"/>
    <w:rPr>
      <w:rFonts w:ascii="Arial" w:hAnsi="Arial" w:cs="Arial"/>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Arial" w:hAnsi="Arial" w:cs="Arial"/>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Arial" w:hAnsi="Arial" w:cs="Arial"/>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Arial" w:hAnsi="Arial" w:cs="Arial"/>
        <w:b/>
        <w:bCs/>
      </w:rPr>
    </w:tblStylePr>
    <w:tblStylePr w:type="lastCol">
      <w:rPr>
        <w:rFonts w:ascii="Arial" w:hAnsi="Arial" w:cs="Arial"/>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Arial" w:hAnsi="Arial" w:cs="Arial"/>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Arial" w:hAnsi="Arial" w:cs="Arial"/>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Arial" w:hAnsi="Arial" w:cs="Arial"/>
        <w:b/>
        <w:bCs/>
      </w:rPr>
    </w:tblStylePr>
    <w:tblStylePr w:type="lastCol">
      <w:rPr>
        <w:rFonts w:ascii="Arial" w:hAnsi="Arial" w:cs="Arial"/>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Arial" w:hAnsi="Arial" w:cs="Arial"/>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Arial" w:hAnsi="Arial" w:cs="Arial"/>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Arial" w:hAnsi="Arial" w:cs="Arial"/>
        <w:b/>
        <w:bCs/>
      </w:rPr>
    </w:tblStylePr>
    <w:tblStylePr w:type="lastCol">
      <w:rPr>
        <w:rFonts w:ascii="Arial" w:hAnsi="Arial" w:cs="Arial"/>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Arial" w:hAnsi="Arial" w:cs="Arial"/>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Arial" w:hAnsi="Arial" w:cs="Arial"/>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Arial" w:hAnsi="Arial" w:cs="Arial"/>
        <w:b/>
        <w:bCs/>
      </w:rPr>
    </w:tblStylePr>
    <w:tblStylePr w:type="lastCol">
      <w:rPr>
        <w:rFonts w:ascii="Arial" w:hAnsi="Arial" w:cs="Arial"/>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Arial" w:hAnsi="Arial" w:cs="Arial"/>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Arial" w:hAnsi="Arial" w:cs="Arial"/>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Arial" w:hAnsi="Arial" w:cs="Arial"/>
        <w:b/>
        <w:bCs/>
      </w:rPr>
    </w:tblStylePr>
    <w:tblStylePr w:type="lastCol">
      <w:rPr>
        <w:rFonts w:ascii="Arial" w:hAnsi="Arial" w:cs="Arial"/>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Arial" w:hAnsi="Arial" w:cs="Arial"/>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Arial" w:hAnsi="Arial" w:cs="Arial"/>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Arial" w:hAnsi="Arial" w:cs="Arial"/>
        <w:b/>
        <w:bCs/>
      </w:rPr>
    </w:tblStylePr>
    <w:tblStylePr w:type="lastCol">
      <w:rPr>
        <w:rFonts w:ascii="Arial" w:hAnsi="Arial" w:cs="Arial"/>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Arial" w:hAnsi="Arial" w:cs="Arial"/>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Arial" w:hAnsi="Arial" w:cs="Arial"/>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Arial" w:hAnsi="Arial" w:cs="Arial"/>
        <w:b/>
        <w:bCs/>
      </w:rPr>
    </w:tblStylePr>
    <w:tblStylePr w:type="lastCol">
      <w:rPr>
        <w:rFonts w:ascii="Arial" w:hAnsi="Arial" w:cs="Arial"/>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Arial" w:hAnsi="Arial" w:cs="Arial"/>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Arial" w:hAnsi="Arial" w:cs="Arial"/>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Arial" w:hAnsi="Arial" w:cs="Arial"/>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Arial" w:hAnsi="Arial" w:cs="Arial"/>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Arial" w:hAnsi="Arial" w:cs="Arial"/>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Arial" w:hAnsi="Arial" w:cs="Arial"/>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Arial" w:hAnsi="Arial" w:cs="Arial"/>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Arial" w:hAnsi="Arial" w:cs="Arial"/>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Arial" w:hAnsi="Arial" w:cs="Arial"/>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Arial" w:hAnsi="Arial" w:cs="Arial"/>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Arial" w:hAnsi="Arial" w:cs="Arial"/>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Arial" w:hAnsi="Arial" w:cs="Arial"/>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Arial" w:hAnsi="Arial" w:cs="Arial"/>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Arial" w:hAnsi="Arial" w:cs="Arial"/>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Arial" w:hAnsi="Arial" w:cs="Arial"/>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Arial" w:hAnsi="Arial" w:cs="Arial"/>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Arial" w:hAnsi="Arial" w:cs="Arial"/>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Arial" w:hAnsi="Arial" w:cs="Arial"/>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Arial" w:hAnsi="Arial" w:cs="Arial"/>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Arial" w:hAnsi="Arial" w:cs="Arial"/>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Arial" w:hAnsi="Arial" w:cs="Arial"/>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hAnsi="Arial" w:cs="Arial"/>
        <w:sz w:val="22"/>
        <w:szCs w:val="22"/>
        <w:lang w:val="en-US" w:eastAsia="zh-CN"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Arial" w:hAnsi="Arial" w:cs="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Arial" w:hAnsi="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Arial" w:hAnsi="Arial" w:cs="Arial"/>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Arial" w:hAnsi="Arial" w:cs="Arial"/>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Arial" w:hAnsi="Arial" w:cs="Arial"/>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Arial" w:hAnsi="Arial" w:cs="Arial"/>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Arial" w:hAnsi="Arial" w:cs="Arial"/>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Arial" w:hAnsi="Arial" w:cs="Arial"/>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Arial" w:hAnsi="Arial" w:cs="Arial"/>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Arial" w:hAnsi="Arial" w:cs="Arial"/>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Arial" w:hAnsi="Arial" w:cs="Arial"/>
      <w:b/>
      <w:bCs/>
      <w:color w:val="4F81BD" w:themeColor="accent1"/>
      <w:sz w:val="26"/>
      <w:szCs w:val="26"/>
    </w:rPr>
  </w:style>
  <w:style w:type="character" w:customStyle="1" w:styleId="Heading3Char">
    <w:name w:val="Heading 3 Char"/>
    <w:basedOn w:val="DefaultParagraphFont"/>
    <w:link w:val="Heading3"/>
    <w:uiPriority w:val="9"/>
    <w:rsid w:val="00FC693F"/>
    <w:rPr>
      <w:rFonts w:ascii="Arial" w:hAnsi="Arial" w:cs="Arial"/>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Arial" w:hAnsi="Arial" w:cs="Arial"/>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Arial" w:hAnsi="Arial" w:cs="Arial"/>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Arial" w:hAnsi="Arial" w:cs="Arial"/>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Arial" w:hAnsi="Arial" w:cs="Arial"/>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Arial" w:hAnsi="Arial" w:cs="Arial"/>
      <w:sz w:val="20"/>
      <w:szCs w:val="20"/>
    </w:rPr>
  </w:style>
  <w:style w:type="character" w:customStyle="1" w:styleId="MacroTextChar">
    <w:name w:val="Macro Text Char"/>
    <w:basedOn w:val="DefaultParagraphFont"/>
    <w:link w:val="MacroText"/>
    <w:uiPriority w:val="99"/>
    <w:rsid w:val="0029639D"/>
    <w:rPr>
      <w:rFonts w:ascii="Arial" w:hAnsi="Arial" w:cs="Arial"/>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Arial" w:hAnsi="Arial" w:cs="Arial"/>
      <w:b/>
      <w:bCs/>
      <w:i/>
      <w:iCs/>
      <w:color w:val="4F81BD" w:themeColor="accent1"/>
    </w:rPr>
  </w:style>
  <w:style w:type="character" w:customStyle="1" w:styleId="Heading5Char">
    <w:name w:val="Heading 5 Char"/>
    <w:basedOn w:val="DefaultParagraphFont"/>
    <w:link w:val="Heading5"/>
    <w:uiPriority w:val="9"/>
    <w:semiHidden/>
    <w:rsid w:val="00FC693F"/>
    <w:rPr>
      <w:rFonts w:ascii="Arial" w:hAnsi="Arial" w:cs="Arial"/>
      <w:color w:val="243F60" w:themeColor="accent1" w:themeShade="7F"/>
    </w:rPr>
  </w:style>
  <w:style w:type="character" w:customStyle="1" w:styleId="Heading6Char">
    <w:name w:val="Heading 6 Char"/>
    <w:basedOn w:val="DefaultParagraphFont"/>
    <w:link w:val="Heading6"/>
    <w:uiPriority w:val="9"/>
    <w:semiHidden/>
    <w:rsid w:val="00FC693F"/>
    <w:rPr>
      <w:rFonts w:ascii="Arial" w:hAnsi="Arial" w:cs="Arial"/>
      <w:i/>
      <w:iCs/>
      <w:color w:val="243F60" w:themeColor="accent1" w:themeShade="7F"/>
    </w:rPr>
  </w:style>
  <w:style w:type="character" w:customStyle="1" w:styleId="Heading7Char">
    <w:name w:val="Heading 7 Char"/>
    <w:basedOn w:val="DefaultParagraphFont"/>
    <w:link w:val="Heading7"/>
    <w:uiPriority w:val="9"/>
    <w:semiHidden/>
    <w:rsid w:val="00FC693F"/>
    <w:rPr>
      <w:rFonts w:ascii="Arial" w:hAnsi="Arial" w:cs="Arial"/>
      <w:i/>
      <w:iCs/>
      <w:color w:val="404040" w:themeColor="text1" w:themeTint="BF"/>
    </w:rPr>
  </w:style>
  <w:style w:type="character" w:customStyle="1" w:styleId="Heading8Char">
    <w:name w:val="Heading 8 Char"/>
    <w:basedOn w:val="DefaultParagraphFont"/>
    <w:link w:val="Heading8"/>
    <w:uiPriority w:val="9"/>
    <w:semiHidden/>
    <w:rsid w:val="00FC693F"/>
    <w:rPr>
      <w:rFonts w:ascii="Arial" w:hAnsi="Arial" w:cs="Arial"/>
      <w:color w:val="4F81BD" w:themeColor="accent1"/>
      <w:sz w:val="20"/>
      <w:szCs w:val="20"/>
    </w:rPr>
  </w:style>
  <w:style w:type="character" w:customStyle="1" w:styleId="Heading9Char">
    <w:name w:val="Heading 9 Char"/>
    <w:basedOn w:val="DefaultParagraphFont"/>
    <w:link w:val="Heading9"/>
    <w:uiPriority w:val="9"/>
    <w:semiHidden/>
    <w:rsid w:val="00FC693F"/>
    <w:rPr>
      <w:rFonts w:ascii="Arial" w:hAnsi="Arial" w:cs="Arial"/>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Arial" w:hAnsi="Arial" w:cs="Arial"/>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Arial" w:hAnsi="Arial" w:cs="Arial"/>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Arial" w:hAnsi="Arial" w:cs="Arial"/>
        <w:b/>
        <w:bCs/>
      </w:rPr>
    </w:tblStylePr>
    <w:tblStylePr w:type="lastCol">
      <w:rPr>
        <w:rFonts w:ascii="Arial" w:hAnsi="Arial" w:cs="Arial"/>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Arial" w:hAnsi="Arial" w:cs="Arial"/>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Arial" w:hAnsi="Arial" w:cs="Arial"/>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Arial" w:hAnsi="Arial" w:cs="Arial"/>
        <w:b/>
        <w:bCs/>
      </w:rPr>
    </w:tblStylePr>
    <w:tblStylePr w:type="lastCol">
      <w:rPr>
        <w:rFonts w:ascii="Arial" w:hAnsi="Arial" w:cs="Arial"/>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Arial" w:hAnsi="Arial" w:cs="Arial"/>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Arial" w:hAnsi="Arial" w:cs="Arial"/>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Arial" w:hAnsi="Arial" w:cs="Arial"/>
        <w:b/>
        <w:bCs/>
      </w:rPr>
    </w:tblStylePr>
    <w:tblStylePr w:type="lastCol">
      <w:rPr>
        <w:rFonts w:ascii="Arial" w:hAnsi="Arial" w:cs="Arial"/>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Arial" w:hAnsi="Arial" w:cs="Arial"/>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Arial" w:hAnsi="Arial" w:cs="Arial"/>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Arial" w:hAnsi="Arial" w:cs="Arial"/>
        <w:b/>
        <w:bCs/>
      </w:rPr>
    </w:tblStylePr>
    <w:tblStylePr w:type="lastCol">
      <w:rPr>
        <w:rFonts w:ascii="Arial" w:hAnsi="Arial" w:cs="Arial"/>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Arial" w:hAnsi="Arial" w:cs="Arial"/>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Arial" w:hAnsi="Arial" w:cs="Arial"/>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Arial" w:hAnsi="Arial" w:cs="Arial"/>
        <w:b/>
        <w:bCs/>
      </w:rPr>
    </w:tblStylePr>
    <w:tblStylePr w:type="lastCol">
      <w:rPr>
        <w:rFonts w:ascii="Arial" w:hAnsi="Arial" w:cs="Arial"/>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Arial" w:hAnsi="Arial" w:cs="Arial"/>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Arial" w:hAnsi="Arial" w:cs="Arial"/>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Arial" w:hAnsi="Arial" w:cs="Arial"/>
        <w:b/>
        <w:bCs/>
      </w:rPr>
    </w:tblStylePr>
    <w:tblStylePr w:type="lastCol">
      <w:rPr>
        <w:rFonts w:ascii="Arial" w:hAnsi="Arial" w:cs="Arial"/>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Arial" w:hAnsi="Arial" w:cs="Arial"/>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Arial" w:hAnsi="Arial" w:cs="Arial"/>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Arial" w:hAnsi="Arial" w:cs="Arial"/>
        <w:b/>
        <w:bCs/>
      </w:rPr>
    </w:tblStylePr>
    <w:tblStylePr w:type="lastCol">
      <w:rPr>
        <w:rFonts w:ascii="Arial" w:hAnsi="Arial" w:cs="Arial"/>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Arial" w:hAnsi="Arial" w:cs="Arial"/>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Arial" w:hAnsi="Arial" w:cs="Arial"/>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Arial" w:hAnsi="Arial" w:cs="Arial"/>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Arial" w:hAnsi="Arial" w:cs="Arial"/>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Arial" w:hAnsi="Arial" w:cs="Arial"/>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Arial" w:hAnsi="Arial" w:cs="Arial"/>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Arial" w:hAnsi="Arial" w:cs="Arial"/>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Arial" w:hAnsi="Arial" w:cs="Arial"/>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Arial" w:hAnsi="Arial" w:cs="Arial"/>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Arial" w:hAnsi="Arial" w:cs="Arial"/>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Arial" w:hAnsi="Arial" w:cs="Arial"/>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Arial" w:hAnsi="Arial" w:cs="Arial"/>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Arial" w:hAnsi="Arial" w:cs="Arial"/>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Arial" w:hAnsi="Arial" w:cs="Arial"/>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Arial" w:hAnsi="Arial" w:cs="Arial"/>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Arial" w:hAnsi="Arial" w:cs="Arial"/>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Arial" w:hAnsi="Arial" w:cs="Arial"/>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Arial" w:hAnsi="Arial" w:cs="Arial"/>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Arial" w:hAnsi="Arial" w:cs="Arial"/>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Arial" w:hAnsi="Arial" w:cs="Arial"/>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Arial" w:hAnsi="Arial" w:cs="Arial"/>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encent.com/wp-content/uploads/2026/08/%E8%85%BE%E8%AE%AF%E5%85%AC%E5%B8%83%E4%BA%8C%E9%9B%B6%E4%BA%8C%E5%85%AD%E5%B9%B4%E7%AC%AC%E4%BA%8C%E5%AD%A3%E4%B8%9A%E7%BB%A9.pdf" TargetMode="External"/><Relationship Id="rId10" Type="http://schemas.openxmlformats.org/officeDocument/2006/relationships/hyperlink" Target="https://www.tencent.com/wp-content/uploads/2026/08/C700_IRA.pdf" TargetMode="External"/><Relationship Id="rId11" Type="http://schemas.openxmlformats.org/officeDocument/2006/relationships/hyperlink" Target="https://www.tencent.com/zh-cn/tencent-hy3-now-available-globally-extending-practical-ai-across-products-workflows-and-cloud-services/" TargetMode="External"/><Relationship Id="rId12" Type="http://schemas.openxmlformats.org/officeDocument/2006/relationships/hyperlink" Target="https://www.tencent.com/zh-cn/tencent-releases-and-open-sources-tencent-hy4-preview/" TargetMode="External"/><Relationship Id="rId13" Type="http://schemas.openxmlformats.org/officeDocument/2006/relationships/hyperlink" Target="https://www.tencent.com/zh-cn/tencent-details-progress-toward-carbon-neutrality-goals-and-outlines-ai-era-prior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